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E3B1" w14:textId="77777777" w:rsidR="00124C6A" w:rsidRDefault="00124C6A" w:rsidP="00124C6A">
      <w:pPr>
        <w:pStyle w:val="2021"/>
        <w:rPr>
          <w:i/>
          <w:lang w:val="ru-RU"/>
        </w:rPr>
      </w:pPr>
      <w:r>
        <w:rPr>
          <w:lang w:val="ru-RU"/>
        </w:rPr>
        <w:t>МОДЕЛЬ ПОЛНОСВЕРТОЧНОЙ НЕЙРОННОЙ СЕТИ ДЛЯ СЕМАНТИЧЕСКОЙ СЕГМЕНТАЦИИ ДЕРЕВЬЕВ ПИХТЫ НА ИЗОБРАЖЕНИЯХ С БПЛА</w:t>
      </w:r>
    </w:p>
    <w:p w14:paraId="1B16DE09" w14:textId="77777777" w:rsidR="00124C6A" w:rsidRDefault="00124C6A" w:rsidP="00124C6A">
      <w:pPr>
        <w:pStyle w:val="2021"/>
        <w:spacing w:before="0"/>
        <w:rPr>
          <w:lang w:val="ru-RU"/>
        </w:rPr>
      </w:pPr>
      <w:bookmarkStart w:id="0" w:name="_Toc170039312"/>
      <w:r>
        <w:rPr>
          <w:lang w:val="ru-RU"/>
        </w:rPr>
        <w:t xml:space="preserve">                                                                                                                    </w:t>
      </w:r>
      <w:bookmarkEnd w:id="0"/>
    </w:p>
    <w:p w14:paraId="5750C5DA" w14:textId="77777777" w:rsidR="00124C6A" w:rsidRDefault="00124C6A" w:rsidP="00124C6A">
      <w:pPr>
        <w:pStyle w:val="20211"/>
        <w:rPr>
          <w:lang w:val="ru-RU"/>
        </w:rPr>
      </w:pPr>
      <w:proofErr w:type="spellStart"/>
      <w:r>
        <w:rPr>
          <w:lang w:val="ru-RU"/>
        </w:rPr>
        <w:t>Мачука</w:t>
      </w:r>
      <w:proofErr w:type="spellEnd"/>
      <w:r>
        <w:rPr>
          <w:lang w:val="ru-RU"/>
        </w:rPr>
        <w:t xml:space="preserve"> М.К.Р.</w:t>
      </w:r>
    </w:p>
    <w:p w14:paraId="50C31A14" w14:textId="77777777" w:rsidR="00124C6A" w:rsidRDefault="00124C6A" w:rsidP="00124C6A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Томский политехнический университет, ИШИТР, аспирант, гр.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A2-36,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br/>
        <w:t>e-mail: kristianrodrigo1@tpu.ru</w:t>
      </w:r>
    </w:p>
    <w:p w14:paraId="67CC61F5" w14:textId="77777777" w:rsidR="00124C6A" w:rsidRDefault="00124C6A" w:rsidP="00124C6A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en-US" w:eastAsia="zh-CN" w:bidi="ar-SA"/>
        </w:rPr>
      </w:pPr>
    </w:p>
    <w:p w14:paraId="26D6D50A" w14:textId="77777777" w:rsidR="00124C6A" w:rsidRDefault="00124C6A" w:rsidP="00124C6A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  <w:t>Аннотация</w:t>
      </w:r>
    </w:p>
    <w:p w14:paraId="1AB79CBA" w14:textId="77777777" w:rsidR="00124C6A" w:rsidRDefault="00124C6A" w:rsidP="00124C6A">
      <w:pPr>
        <w:widowControl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zh-CN" w:bidi="ar-SA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  <w:lang w:eastAsia="zh-CN" w:bidi="ar-SA"/>
        </w:rPr>
        <w:t xml:space="preserve">В данной работе представлена модифицированная модель нейронной сети на основе U-Net для классификации деревьев </w:t>
      </w: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eastAsia="zh-CN" w:bidi="ar-SA"/>
        </w:rPr>
        <w:t xml:space="preserve">A. </w:t>
      </w:r>
      <w:proofErr w:type="spellStart"/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eastAsia="zh-CN" w:bidi="ar-SA"/>
        </w:rPr>
        <w:t>Sibirica</w:t>
      </w:r>
      <w:proofErr w:type="spellEnd"/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  <w:lang w:eastAsia="zh-CN" w:bidi="ar-SA"/>
        </w:rPr>
        <w:t>.</w:t>
      </w:r>
      <w:r>
        <w:rPr>
          <w:rFonts w:ascii="Times New Roman" w:hAnsi="Times New Roman" w:cs="Times New Roman"/>
          <w:bCs/>
          <w:color w:val="auto"/>
          <w:sz w:val="22"/>
          <w:szCs w:val="22"/>
          <w:lang w:eastAsia="zh-CN" w:bidi="ar-SA"/>
        </w:rPr>
        <w:t xml:space="preserve"> Модель включает в себя пакетную нормализацию, сохранение размеров карт признаков и использование остаточных блоков. Доказано, что использование более крупных фрагментов изображения улучшает способность нейронной сети к обобщению, обеспечивая высокую эффективность семантической сегментации.</w:t>
      </w:r>
    </w:p>
    <w:p w14:paraId="110458F9" w14:textId="77777777" w:rsidR="00124C6A" w:rsidRDefault="00124C6A" w:rsidP="00124C6A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</w:pPr>
    </w:p>
    <w:p w14:paraId="6ED61448" w14:textId="77777777" w:rsidR="00124C6A" w:rsidRDefault="00124C6A" w:rsidP="00124C6A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  <w:t xml:space="preserve">Ключевые слова: </w:t>
      </w:r>
      <w:r>
        <w:rPr>
          <w:rFonts w:ascii="Times New Roman" w:hAnsi="Times New Roman" w:cs="Times New Roman"/>
          <w:color w:val="auto"/>
          <w:sz w:val="22"/>
          <w:szCs w:val="22"/>
          <w:lang w:eastAsia="zh-CN" w:bidi="ar-SA"/>
        </w:rPr>
        <w:t xml:space="preserve">семантическая сегментация изображений,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zh-CN" w:bidi="ar-SA"/>
        </w:rPr>
        <w:t>полносверточная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zh-CN" w:bidi="ar-SA"/>
        </w:rPr>
        <w:t xml:space="preserve"> нейронная сеть, деревья сибирской пихты, беспилотный летательный аппарат.</w:t>
      </w:r>
    </w:p>
    <w:p w14:paraId="25D50778" w14:textId="77777777" w:rsidR="00124C6A" w:rsidRDefault="00124C6A" w:rsidP="00124C6A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</w:pPr>
    </w:p>
    <w:p w14:paraId="788C3D10" w14:textId="77777777" w:rsidR="00124C6A" w:rsidRDefault="00124C6A" w:rsidP="00124C6A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zh-CN" w:bidi="ar-SA"/>
        </w:rPr>
        <w:t>Введение</w:t>
      </w:r>
    </w:p>
    <w:p w14:paraId="370F910A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Семантическая сегментация — важная задача в области компьютерного зрения, которая позволяет понимать содержимое изображений на уровне пикселей (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попиксельная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классификация). Размер входных изображений является один из ключевых факторов, определяющих эффективность таких сетей. Поэтому сегодня актуальной является задача исследования влияния размера входных изображений на точность семантической сегментации хвойных деревьев на снимках с помощью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полносверточных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нейронных сетей.</w:t>
      </w:r>
    </w:p>
    <w:p w14:paraId="6B3BFAC8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 данной работе рассматривается задача обучения и исследования предложенной модели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нейронной сети, основанной на архитектуре классической модели U-Net [1]. Эта модель применяется для семантической сегментации фрагментов двух размеров, полученных из исходных снимков с беспилотных летательных аппаратов (БПЛА) деревьев сибирской пихты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Abies</w:t>
      </w:r>
      <w:proofErr w:type="spellEnd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(далее – 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A.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), поврежденных уссурийским полиграфом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Polygraphus</w:t>
      </w:r>
      <w:proofErr w:type="spellEnd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proximus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Blandford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 [2].</w:t>
      </w:r>
    </w:p>
    <w:p w14:paraId="7710B5CD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571B7015" w14:textId="77777777" w:rsidR="00124C6A" w:rsidRDefault="00124C6A" w:rsidP="00124C6A">
      <w:pPr>
        <w:widowControl/>
        <w:spacing w:line="259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Исходные данные для исследования</w:t>
      </w:r>
    </w:p>
    <w:p w14:paraId="52A7C426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 качестве исходных данных использовались пять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RGB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-снимков, сделанных на штатную фотокамеру БПЛА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DJI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Phantom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3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Standard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При анализе снимков с БПЛА деревьев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A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поврежденных уссурийским полиграфом, экспертами выделялись четыре класса их жизненного состояния [2]: «Живые», «Отмирающие» (сильно ослабленные, усыхающие), «Свежий сухостой» и «Старый сухостой» (сухостой прошлых лет). Пятым классом являлся «Фон» – деревья других пород и иные объекты земной поверхности. Каждое из деревьев экспертом путем визуального дешифрирования относилось к одному из классов. Кроме разметки деревьев по классам осуществлялось оконтуривание их крон. В итоге получены эталонные карты сегментации.</w:t>
      </w:r>
    </w:p>
    <w:p w14:paraId="091CBC93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Для формирования первого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датасета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(обучающей 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валидационной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выборок), четыре исходных снимка деревьев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A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были нарезаны на фрагменты размером 256 х 256 пикселей путем сдвига предыдущего фрагмента на 128 пикселей. Для увеличения объема данных было применено несколько поворотов. Всего было получено 2004 обучающих и 672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валидационных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фрагментов. Тестовая выборка, созданная по снимку тестового участка, составила 196 фрагментов размером 256 х 256 пикселей.</w:t>
      </w:r>
    </w:p>
    <w:p w14:paraId="2E7B13EB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Для формирования второго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датасета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такие же четыре исходных снимков деревьев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A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были нарезаны на фрагменты размером 480 х 480 пикселей путем сдвига предыдущего фрагмента на 240 пикселей. Всего было получено 240 обучающих и 40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валидационных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фрагментов. Тестовая выборка, созданная по снимку тестового участка, составила 72 фрагмента размером 480 х 480 пикселей.</w:t>
      </w:r>
    </w:p>
    <w:p w14:paraId="42B7E0E8" w14:textId="77777777" w:rsidR="00124C6A" w:rsidRDefault="00124C6A" w:rsidP="00124C6A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233C0983" w14:textId="77777777" w:rsidR="00124C6A" w:rsidRDefault="00124C6A" w:rsidP="00124C6A">
      <w:pPr>
        <w:widowControl/>
        <w:spacing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Модель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нейронной сети</w:t>
      </w:r>
    </w:p>
    <w:p w14:paraId="5145A946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Для решения задачи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мультиклассификации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деревьев 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A.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была разработана новая модель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нейронной сети, основанная на известной модели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сети U-Net, которая обычно используется для семантической сегментации (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попиксельной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классификации) изображений. Ее архитектура приведена на рис. 1. Внесенные изменения в исходную модель U-Net включают в себя:</w:t>
      </w:r>
    </w:p>
    <w:p w14:paraId="787BD597" w14:textId="77777777" w:rsidR="00124C6A" w:rsidRDefault="00124C6A" w:rsidP="00124C6A">
      <w:pPr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Изменение размеров входных и выходных тензоров.</w:t>
      </w:r>
    </w:p>
    <w:p w14:paraId="41BE0907" w14:textId="77777777" w:rsidR="00124C6A" w:rsidRDefault="00124C6A" w:rsidP="00124C6A">
      <w:pPr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Применение пакетной нормализации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BN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 после каждой нелинейности.</w:t>
      </w:r>
    </w:p>
    <w:p w14:paraId="326D1F18" w14:textId="77777777" w:rsidR="00124C6A" w:rsidRDefault="00124C6A" w:rsidP="00124C6A">
      <w:pPr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Сохранение размеров карт признаков при применении слоев свертки. Это изменение позволяет картам признаков сохранять свои пространственные размеры, предотвращая потерю информации во время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субдискретизации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что крайне важно для сохранения деталей на изображениях леса.</w:t>
      </w:r>
    </w:p>
    <w:p w14:paraId="1F4EB57C" w14:textId="77777777" w:rsidR="00124C6A" w:rsidRDefault="00124C6A" w:rsidP="00124C6A">
      <w:pPr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отличие от исходной архитектуры U-Net, модифицированная версия не обрезает карт признаков для соединений пропуска. Это позволяет сети сохранять пространственный контекст, сохранять исходный размер карт признаков с сокращающегося пути и обеспечивать более полное и богатое представление признаков для реконструкции.</w:t>
      </w:r>
    </w:p>
    <w:p w14:paraId="299520C1" w14:textId="77777777" w:rsidR="00124C6A" w:rsidRDefault="00124C6A" w:rsidP="00124C6A">
      <w:pPr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Расширенный путь в модифицированной архитектуре U-Net включает интерполяцию карт признаков с последующей сверткой 3x3. Эта операция помогает восстановить пространственные размеры карт признаков, уменьшая при этом количество каналов признаков</w:t>
      </w:r>
    </w:p>
    <w:p w14:paraId="59164342" w14:textId="77777777" w:rsidR="00124C6A" w:rsidRDefault="00124C6A" w:rsidP="00124C6A">
      <w:pPr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 выходном слое модифицированной сети U-Net свертки 1x1 и функция активации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Softmax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используются, чтобы гарантировать, что выходные данные представляют собой вектор с вероятностями каждого возможного результата, представляющий классы 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val="en-US" w:eastAsia="en-US" w:bidi="ar-SA"/>
        </w:rPr>
        <w:t>C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461F2F31" w14:textId="77777777" w:rsidR="00124C6A" w:rsidRDefault="00124C6A" w:rsidP="00124C6A">
      <w:pPr>
        <w:widowControl/>
        <w:tabs>
          <w:tab w:val="left" w:pos="851"/>
        </w:tabs>
        <w:ind w:left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5623A13" w14:textId="77777777" w:rsidR="00124C6A" w:rsidRDefault="00124C6A" w:rsidP="00124C6A">
      <w:pPr>
        <w:widowControl/>
        <w:spacing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3CDF8DBF" wp14:editId="674DA749">
            <wp:extent cx="4960961" cy="2497431"/>
            <wp:effectExtent l="0" t="0" r="0" b="0"/>
            <wp:docPr id="4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979684" cy="25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ACB7D" w14:textId="77777777" w:rsidR="00124C6A" w:rsidRDefault="00124C6A" w:rsidP="00124C6A">
      <w:pPr>
        <w:widowControl/>
        <w:spacing w:line="259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Рис. 1. Архитектура модифицированной модели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U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>-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Net</w:t>
      </w:r>
    </w:p>
    <w:p w14:paraId="7A3D330D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</w:pPr>
    </w:p>
    <w:p w14:paraId="18DC8637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классической модели U-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Net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выходные данные одного слоя служат входными данными для следующего слоя. Во время обучения нейронной сети градиенты распространяются по сети обратно, и они могут уменьшаться по величине при прохождении через несколько слоев, особенно в очень глубоких сетях. Это явление может затруднить процесс обучения, что приведет к замедлению сходимости или даже к невозможности эффективного обучения сети [3]. Для решения этой проблемы в модель были добавлены остаточные блоки [4]. Такие блоки позволяют обучать глубокие нейронные сети эффективнее, позволяя обучать остаточные признаков (изменения внесенные каждым слоем), что упрощает обучение и сокращает время до достижения оптимальных результатов. </w:t>
      </w:r>
    </w:p>
    <w:p w14:paraId="5F15B5A2" w14:textId="77777777" w:rsidR="00124C6A" w:rsidRDefault="00124C6A" w:rsidP="00124C6A">
      <w:pPr>
        <w:widowControl/>
        <w:ind w:firstLine="567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5EE5F6E5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Обучение и валидация предлагаемой модели сети </w:t>
      </w:r>
    </w:p>
    <w:p w14:paraId="373D9060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При обучении предлагаемой модели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сети применялась функция потерь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F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ocal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L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oss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- стандартной функции потерь для устранения крайнего дисбаланса классов [5]. Функция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Focal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L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oss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включает в себя модулирующие параметры, которые позволяют сокращать потери от простых примеров и увеличивать значение корректирующих примеров в случаях неправильной классификации пикселей деревьев 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val="en-US" w:eastAsia="en-US" w:bidi="ar-SA"/>
        </w:rPr>
        <w:t>A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При обучении использовался известный алгоритм оптимизации Adam. Более того, при обучении моделей также применялась техника аугментации "на лету", позволяющая улучшить разнообразие и насыщенность обучающих фрагментов за счет синтезированных фрагментов непосредственно во время обучения. </w:t>
      </w:r>
    </w:p>
    <w:p w14:paraId="4FD87CE7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Чтобы оптимизировать эффективность модели, использовался метод байесовской оптимизации для настройки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Мы выделили три ключевых параметра, которые существенно влияют на эффективность модели: аугментация данных, скорость обучения и параметры функции потерь. Для аугментации данных, яркости, контрастности, резкости и насыщенности мы стремимся оптимизировать связанные с ними диапазоны коэффициентов для изменения исходного изображения. Определение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подходящего диапазона позволяет модели эффективно изучать как локальные, так и глобальные признаки данных. Скорость обучения играет важную роль в определении размера шага, с которым модель обновляет свои внутренние параметры во время обучения. Более высокая скорость обучения способствует более быстрой сходимости, но может привести к риску выйти за рамки оптимального решения. И наоборот, более низкая скорость обучения приводит к более медленной сходимости. Кроме того, были оптимизированы параметры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Focal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L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oss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которые уравновешивают положительные и отрицательные примеры и регулируют скорость снижения веса простых примеров во время обучения.</w:t>
      </w:r>
    </w:p>
    <w:p w14:paraId="3F3C9571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Всего для обучения модели для каждого из наборов данных было использовано 100 уникальных комбинаций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Была построена вероятностная модель, отражающая взаимосвязь между значениями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и эффективностью моделей на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валидационных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быворках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измеряемую метрикой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Intersection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over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Union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mIoU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). Процесс поиска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управлялся функцией сбора данных, которая определяла следующий набор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для оценки на основе текущей вероятностной модели. После оценки каждого набора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модель обновлялась, и новая модель обучалась с использованием уточненных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Затем эффективность новой модели была измерена и использована для дальнейшего обновления вероятностной модели. Этот итерационный процесс повторялся 100 раз, при этом на каждой итерации использовалась обновленная модель для определения наилучшей комбинации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гиперпараметров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оценки их производительности и продолжения совершенствования модели.</w:t>
      </w:r>
    </w:p>
    <w:p w14:paraId="123DDCA1" w14:textId="77777777" w:rsidR="00124C6A" w:rsidRDefault="00124C6A" w:rsidP="00124C6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A45D863" w14:textId="77777777" w:rsidR="00124C6A" w:rsidRDefault="00124C6A" w:rsidP="00124C6A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Результаты и их обсуждение</w:t>
      </w:r>
    </w:p>
    <w:p w14:paraId="148B4E3F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Из визуального анализа результатов обучения и валидации модели, приведенных в качестве примера на рис. 2, следует, что предложенная модель для каждого из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датасетов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успешно воспроизводит границы между деревьями и сегментирует большую долю крон.</w:t>
      </w:r>
    </w:p>
    <w:p w14:paraId="3F45792A" w14:textId="77777777" w:rsidR="00124C6A" w:rsidRDefault="00124C6A" w:rsidP="00124C6A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7461586" w14:textId="77777777" w:rsidR="00124C6A" w:rsidRDefault="00124C6A" w:rsidP="00124C6A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9177FA0" wp14:editId="0587EA61">
            <wp:extent cx="4442347" cy="2192819"/>
            <wp:effectExtent l="0" t="0" r="0" b="0"/>
            <wp:docPr id="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486158" cy="22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AAA6" w14:textId="77777777" w:rsidR="00124C6A" w:rsidRDefault="00124C6A" w:rsidP="00124C6A">
      <w:pPr>
        <w:widowControl/>
        <w:spacing w:before="8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>Рис. 2. Пример сегментации деревьев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val="en-US" w:eastAsia="en-US" w:bidi="ar-SA"/>
        </w:rPr>
        <w:t>A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 на снимке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: </w:t>
      </w:r>
    </w:p>
    <w:p w14:paraId="5C03442C" w14:textId="77777777" w:rsidR="00124C6A" w:rsidRDefault="00124C6A" w:rsidP="00124C6A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t xml:space="preserve">а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– </w:t>
      </w: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t xml:space="preserve">исходный снимок; б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– </w:t>
      </w: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t xml:space="preserve">эталонная карта сегментации этого снимка, полученная экспертами; </w:t>
      </w: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br/>
        <w:t xml:space="preserve">в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– </w:t>
      </w: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t xml:space="preserve">результате для случая фрагментов 256*256 пикселей; </w:t>
      </w: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br/>
        <w:t xml:space="preserve">г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– </w:t>
      </w: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eastAsia="en-US" w:bidi="ar-SA"/>
        </w:rPr>
        <w:t>результат для случая фрагментов 480*480 пикселей</w:t>
      </w:r>
    </w:p>
    <w:p w14:paraId="045B29B9" w14:textId="77777777" w:rsidR="00124C6A" w:rsidRDefault="00124C6A" w:rsidP="00124C6A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</w:p>
    <w:p w14:paraId="385C5A9A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Из таблицы 1, где приведены результаты сегментации на тестовой выборке, видно, что модель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сети для каждой из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датасетов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продемонстрировала высокое качество классификации пикселей всех (</w:t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IoUc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&gt;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0.5). Однако при обучении модели с использованием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датасета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фрагментов размером 256*256 пикселей результаты ниже, чем при использовании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датасета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фрагментов размером 480*480 пикселей.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</w:p>
    <w:p w14:paraId="4A0C88DB" w14:textId="77777777" w:rsidR="00124C6A" w:rsidRDefault="00124C6A" w:rsidP="00124C6A">
      <w:pPr>
        <w:widowControl/>
        <w:spacing w:after="120"/>
        <w:ind w:firstLine="72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Таблица 1. </w:t>
      </w:r>
    </w:p>
    <w:p w14:paraId="5DEB1B43" w14:textId="77777777" w:rsidR="00124C6A" w:rsidRDefault="00124C6A" w:rsidP="00124C6A">
      <w:pPr>
        <w:widowControl/>
        <w:spacing w:after="120"/>
        <w:ind w:firstLine="720"/>
        <w:jc w:val="center"/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Метрики качества сегментации деревьев А. </w:t>
      </w:r>
      <w:proofErr w:type="spellStart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 на тестовой выборке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1304"/>
        <w:gridCol w:w="1318"/>
        <w:gridCol w:w="1485"/>
        <w:gridCol w:w="1327"/>
        <w:gridCol w:w="1327"/>
        <w:gridCol w:w="1310"/>
      </w:tblGrid>
      <w:tr w:rsidR="00124C6A" w14:paraId="49C584B7" w14:textId="77777777" w:rsidTr="002E6A23">
        <w:trPr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1F81D426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Размер фрагмента, пикселей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52B4847B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IoUc</w:t>
            </w:r>
            <w:proofErr w:type="spellEnd"/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14:paraId="724B31E1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mIoU</w:t>
            </w:r>
            <w:proofErr w:type="spellEnd"/>
          </w:p>
        </w:tc>
      </w:tr>
      <w:tr w:rsidR="00124C6A" w14:paraId="0767707E" w14:textId="77777777" w:rsidTr="002E6A23">
        <w:trPr>
          <w:jc w:val="center"/>
        </w:trPr>
        <w:tc>
          <w:tcPr>
            <w:tcW w:w="1323" w:type="dxa"/>
            <w:vMerge/>
            <w:shd w:val="clear" w:color="auto" w:fill="auto"/>
            <w:vAlign w:val="center"/>
          </w:tcPr>
          <w:p w14:paraId="3981439C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F0B9D6D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Фон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BA32BB2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Живые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DD04858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Отмирающие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A743B65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Свежий сухостой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8179365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Старый сухостой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14:paraId="0B7E4D48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24C6A" w14:paraId="7437ED2E" w14:textId="77777777" w:rsidTr="002E6A23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26534121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lastRenderedPageBreak/>
              <w:t>256*256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F66108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0,85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0F56C24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0,72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425AB4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0,51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69E52A7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2D5B167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0,66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039A02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0,70</w:t>
            </w:r>
          </w:p>
        </w:tc>
      </w:tr>
      <w:tr w:rsidR="00124C6A" w14:paraId="547172B2" w14:textId="77777777" w:rsidTr="002E6A23">
        <w:trPr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2092EF3B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480*480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F0651A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0,8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46378E8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0,7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220351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0,5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EE62C9D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80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F4A7C59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0,6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9118CE" w14:textId="77777777" w:rsidR="00124C6A" w:rsidRDefault="00124C6A" w:rsidP="002E6A2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0,74</w:t>
            </w:r>
          </w:p>
        </w:tc>
      </w:tr>
    </w:tbl>
    <w:p w14:paraId="1F4A0B08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Есть несколько причин, по которым фрагменты большего размера могут привести к лучшим результатам, несмотря на их меньшее количество:</w:t>
      </w:r>
    </w:p>
    <w:p w14:paraId="7695E8C0" w14:textId="77777777" w:rsidR="00124C6A" w:rsidRDefault="00124C6A" w:rsidP="00124C6A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Фрагменты большего размера предоставляют модели более широкий контекст, позволяющий понять пространственные отношения между различными частями изображения. Эта дополнительная контекстная информация может помочь модели делать более точные прогнозы.</w:t>
      </w:r>
    </w:p>
    <w:p w14:paraId="700F0C73" w14:textId="77777777" w:rsidR="00124C6A" w:rsidRDefault="00124C6A" w:rsidP="00124C6A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Благодаря более крупным фрагментам модель имеет доступ к более разнообразным и подробным признаком, что может помочь в обучении более богатых представлений данных. Это может привести к лучшему обобщению и эффективности новых данных.</w:t>
      </w:r>
    </w:p>
    <w:p w14:paraId="0C5D9DFA" w14:textId="77777777" w:rsidR="00124C6A" w:rsidRDefault="00124C6A" w:rsidP="00124C6A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Фрагменты большего размера могут помочь уменьшить переобучение, предоставляя более разнообразные примеры для модели, на которых можно учиться. Это особенно важно при работе со сложными наборами данных и модель имеет большое количество параметров.</w:t>
      </w:r>
    </w:p>
    <w:p w14:paraId="7E823F95" w14:textId="77777777" w:rsidR="00124C6A" w:rsidRDefault="00124C6A" w:rsidP="00124C6A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Фрагменты большего размера содержат больше различительных признаков, которые могут помочь модели более эффективно различать разные классы. Это может привести к лучшим результатам сегментации, особенно при работе с визуально похожими классами.</w:t>
      </w:r>
    </w:p>
    <w:p w14:paraId="65CE2712" w14:textId="77777777" w:rsidR="00124C6A" w:rsidRDefault="00124C6A" w:rsidP="00124C6A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Большие фрагменты могут повысить устойчивость модели к шуму и изменчивости данных, предоставляя модели больше информации для обучения. Это может помочь модели лучше обобщать невидимые данные и повысить ее производительность в реальных сценариях.</w:t>
      </w:r>
    </w:p>
    <w:p w14:paraId="30BDC5C4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целом, хотя фрагменты большего размера могут потребовать больше вычислительных ресурсов и времени для их анализа, они обеспечат преимущества с точки зрения эффективности модели и обобщения, что приводит к лучшим результатам, несмотря на их меньшее количество.</w:t>
      </w:r>
    </w:p>
    <w:p w14:paraId="7B58BD14" w14:textId="77777777" w:rsidR="00124C6A" w:rsidRDefault="00124C6A" w:rsidP="00124C6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165A900B" w14:textId="77777777" w:rsidR="00124C6A" w:rsidRDefault="00124C6A" w:rsidP="00124C6A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Заключение</w:t>
      </w:r>
    </w:p>
    <w:p w14:paraId="2B54BF81" w14:textId="77777777" w:rsidR="00124C6A" w:rsidRDefault="00124C6A" w:rsidP="00124C6A">
      <w:pPr>
        <w:widowControl/>
        <w:spacing w:after="160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Рассмотрено обучение предложенной модели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полносверточной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нейронной сети для классификации деревьев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А. </w:t>
      </w:r>
      <w:proofErr w:type="spellStart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val="en-US" w:eastAsia="en-US" w:bidi="ar-SA"/>
        </w:rPr>
        <w:t>sibirica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поврежденных уссурийским полиграфом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Polygraphus</w:t>
      </w:r>
      <w:proofErr w:type="spellEnd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proximus</w:t>
      </w:r>
      <w:proofErr w:type="spellEnd"/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на снимках с БПЛА. Исследования показали, что изменения, внесенные в классическую модель U-Net, такие как пакетная нормализация, сохранение размеров карт признаков и использование остаточных блоков, значительно повышают ее эффективность и точность в задаче семантической сегментации изображений лесного покрова. В результате тщательного анализа было установлено, что использование 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  <w:t xml:space="preserve">крупных фрагментов изображения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приводит к заметному улучшению понимания контекста сети и обогащению признаков, что, в свою очередь, способствует повышению качества сегментации. Таким образом, разработанная модель представляет собой важный шаг в развитии методов анализа лесных экосистем с использованием нейронных сетей и изображений с БПЛА.</w:t>
      </w:r>
    </w:p>
    <w:p w14:paraId="6D43729B" w14:textId="77777777" w:rsidR="00124C6A" w:rsidRDefault="00124C6A" w:rsidP="00124C6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Список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использованных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источников</w:t>
      </w:r>
    </w:p>
    <w:p w14:paraId="4F908DBB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1.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Ronneberger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 xml:space="preserve"> O., Fischer P.,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Brox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 xml:space="preserve"> T. U-Net: Convolutional Networks for Biomedical Image Segmentation.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[Электронный ресурс]. –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URL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zh-CN" w:bidi="ar-SA"/>
        </w:rPr>
        <w:t xml:space="preserve">: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https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zh-CN" w:bidi="ar-SA"/>
        </w:rPr>
        <w:t>://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arxiv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eastAsia="zh-CN" w:bidi="ar-SA"/>
        </w:rPr>
        <w:t>.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org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zh-CN" w:bidi="ar-SA"/>
        </w:rPr>
        <w:t>/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pdf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zh-CN" w:bidi="ar-SA"/>
        </w:rPr>
        <w:t>/1505.04597.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zh-CN" w:bidi="ar-SA"/>
        </w:rPr>
        <w:t>pdf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zh-CN" w:bidi="ar-SA"/>
        </w:rPr>
        <w:t xml:space="preserve"> (дата обращения 12.11.2023).</w:t>
      </w:r>
    </w:p>
    <w:p w14:paraId="779A2EA6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2. Кривец С.А.,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Бисирова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Э.М., Волкова Е.С.,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Дебков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Н.М.,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Керчев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И.А., Мельник М.А., Никифоров А.Н., Чернова Н.А. Технология мониторинга пихтовых лесов в зоне инвазии уссурийского полиграфа в Сибири: метод. пособие. Томск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УМИУМ</w:t>
      </w:r>
      <w:r w:rsidRPr="004D1CCC"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–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2018. </w:t>
      </w:r>
      <w:r>
        <w:rPr>
          <w:rFonts w:ascii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– </w:t>
      </w:r>
      <w:r>
        <w:rPr>
          <w:rFonts w:ascii="Times New Roman" w:hAnsi="Times New Roman" w:cs="Times New Roman"/>
          <w:color w:val="auto"/>
          <w:sz w:val="22"/>
          <w:szCs w:val="22"/>
          <w:lang w:eastAsia="zh-CN" w:bidi="ar-SA"/>
        </w:rPr>
        <w:t>Т</w:t>
      </w:r>
      <w:r>
        <w:rPr>
          <w:rFonts w:ascii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74</w:t>
      </w:r>
      <w:r w:rsidRPr="004D1CCC"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–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C. 3.</w:t>
      </w:r>
    </w:p>
    <w:p w14:paraId="70FC8FD6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3. Noh S.-H. Analysis of Gradient Vanishing of RNNs and Performance Comparison // Information. – 2021. </w:t>
      </w:r>
      <w:r>
        <w:rPr>
          <w:rFonts w:ascii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–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Vol. 12. – P 442.</w:t>
      </w:r>
    </w:p>
    <w:p w14:paraId="2426F68F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4.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val="en-US" w:eastAsia="en-US" w:bidi="ar-SA"/>
        </w:rPr>
        <w:t xml:space="preserve"> He K.,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val="en-US" w:eastAsia="en-US" w:bidi="ar-SA"/>
        </w:rPr>
        <w:t>Xiangyu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val="en-US" w:eastAsia="en-US" w:bidi="ar-SA"/>
        </w:rPr>
        <w:t xml:space="preserve"> Z.,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val="en-US" w:eastAsia="en-US" w:bidi="ar-SA"/>
        </w:rPr>
        <w:t>Shaoqing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val="en-US" w:eastAsia="en-US" w:bidi="ar-SA"/>
        </w:rPr>
        <w:t xml:space="preserve"> R., Jian S. Deep residual learning for image recognition // In Proceedings of the IEEE conference on computer vision and pattern recognition. – 2016. – P. 770-778. </w:t>
      </w:r>
    </w:p>
    <w:p w14:paraId="05CDA27F" w14:textId="77777777" w:rsidR="00124C6A" w:rsidRDefault="00124C6A" w:rsidP="00124C6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5. Lin T., Goyal P., 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Girshick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 R., He K., Dollar P. </w:t>
      </w:r>
      <w:r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  <w:lang w:val="en-US" w:eastAsia="en-US" w:bidi="ar-SA"/>
        </w:rPr>
        <w:t>Focal Loss for Dense Object Detection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 xml:space="preserve"> // Facebook AI Research (FAIR).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[Электронный ресурс]. –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URL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: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https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://</w:t>
      </w:r>
      <w:proofErr w:type="spellStart"/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arxiv</w:t>
      </w:r>
      <w:proofErr w:type="spell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org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/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pdf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/1708.02002.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en-US" w:eastAsia="en-US" w:bidi="ar-SA"/>
        </w:rPr>
        <w:t>pdf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(дата обращения 28.12.2023).</w:t>
      </w:r>
    </w:p>
    <w:p w14:paraId="1AAD8B3C" w14:textId="77777777" w:rsidR="00A240A9" w:rsidRPr="00124C6A" w:rsidRDefault="00A240A9" w:rsidP="00124C6A"/>
    <w:sectPr w:rsidR="00A240A9" w:rsidRPr="00124C6A" w:rsidSect="005343CF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2C"/>
    <w:multiLevelType w:val="hybridMultilevel"/>
    <w:tmpl w:val="A7E8F896"/>
    <w:lvl w:ilvl="0" w:tplc="20CCAD86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SimSun"/>
        <w:sz w:val="22"/>
        <w:szCs w:val="22"/>
        <w:lang w:val="ru-RU" w:eastAsia="zh-CN"/>
      </w:rPr>
    </w:lvl>
    <w:lvl w:ilvl="1" w:tplc="6270D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C84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28E3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F62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DAFF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2EDD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A64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5A7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985040"/>
    <w:multiLevelType w:val="hybridMultilevel"/>
    <w:tmpl w:val="D3EC973E"/>
    <w:lvl w:ilvl="0" w:tplc="CEF8AEA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anish/>
        <w:sz w:val="22"/>
        <w:szCs w:val="22"/>
      </w:rPr>
    </w:lvl>
    <w:lvl w:ilvl="1" w:tplc="83BC26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C690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48F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AE5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969C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DA9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747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142E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1548A0"/>
    <w:multiLevelType w:val="hybridMultilevel"/>
    <w:tmpl w:val="E84675EE"/>
    <w:lvl w:ilvl="0" w:tplc="BFF008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CB4F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86E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6A6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60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EABE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887A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080E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81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7122F9F"/>
    <w:multiLevelType w:val="hybridMultilevel"/>
    <w:tmpl w:val="69FA2014"/>
    <w:lvl w:ilvl="0" w:tplc="0C3831A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BBE6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E41B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020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98A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24F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F22F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888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648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EA95711"/>
    <w:multiLevelType w:val="hybridMultilevel"/>
    <w:tmpl w:val="DA6C1E04"/>
    <w:lvl w:ilvl="0" w:tplc="E404FA98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4EB849CE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DAA0EFF0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64B0258A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691605E8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F9783838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AD4D9AC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3E7698EA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C0FE43EC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 w15:restartNumberingAfterBreak="0">
    <w:nsid w:val="35611990"/>
    <w:multiLevelType w:val="hybridMultilevel"/>
    <w:tmpl w:val="AB463784"/>
    <w:lvl w:ilvl="0" w:tplc="150CB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224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CF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6F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41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AC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F120B"/>
    <w:multiLevelType w:val="hybridMultilevel"/>
    <w:tmpl w:val="C09A4EF2"/>
    <w:lvl w:ilvl="0" w:tplc="F06AB8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D6400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3A60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02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86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500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CA8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9C8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0A0E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A0"/>
    <w:rsid w:val="00124C6A"/>
    <w:rsid w:val="005343CF"/>
    <w:rsid w:val="00A240A9"/>
    <w:rsid w:val="00C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FC8B-4641-435A-BBB6-D63ABB05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43CF"/>
    <w:pPr>
      <w:widowControl w:val="0"/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21">
    <w:name w:val="2021_МСИТ_Заголовок"/>
    <w:basedOn w:val="a"/>
    <w:link w:val="20210"/>
    <w:qFormat/>
    <w:rsid w:val="00124C6A"/>
    <w:pPr>
      <w:keepNext/>
      <w:keepLines/>
      <w:spacing w:before="120"/>
      <w:jc w:val="center"/>
      <w:outlineLvl w:val="1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 w:eastAsia="en-US" w:bidi="ar-SA"/>
    </w:rPr>
  </w:style>
  <w:style w:type="paragraph" w:customStyle="1" w:styleId="20211">
    <w:name w:val="2021_МСИТ_авторы"/>
    <w:basedOn w:val="a"/>
    <w:link w:val="20212"/>
    <w:qFormat/>
    <w:rsid w:val="00124C6A"/>
    <w:pPr>
      <w:widowControl/>
      <w:jc w:val="center"/>
    </w:pPr>
    <w:rPr>
      <w:rFonts w:ascii="Times New Roman" w:eastAsia="Times New Roman" w:hAnsi="Times New Roman" w:cs="Times New Roman"/>
      <w:i/>
      <w:color w:val="auto"/>
      <w:sz w:val="22"/>
      <w:szCs w:val="22"/>
      <w:lang w:val="en-US" w:eastAsia="it-IT" w:bidi="ar-SA"/>
    </w:rPr>
  </w:style>
  <w:style w:type="character" w:customStyle="1" w:styleId="20210">
    <w:name w:val="2021_МСИТ_Заголовок Знак"/>
    <w:basedOn w:val="a0"/>
    <w:link w:val="2021"/>
    <w:rsid w:val="00124C6A"/>
    <w:rPr>
      <w:rFonts w:ascii="Times New Roman" w:eastAsia="Times New Roman" w:hAnsi="Times New Roman" w:cs="Times New Roman"/>
      <w:b/>
      <w:caps/>
      <w:lang w:val="en-US"/>
    </w:rPr>
  </w:style>
  <w:style w:type="character" w:customStyle="1" w:styleId="20212">
    <w:name w:val="2021_МСИТ_авторы Знак"/>
    <w:basedOn w:val="a0"/>
    <w:link w:val="20211"/>
    <w:rsid w:val="00124C6A"/>
    <w:rPr>
      <w:rFonts w:ascii="Times New Roman" w:eastAsia="Times New Roman" w:hAnsi="Times New Roman" w:cs="Times New Roman"/>
      <w:i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Анжелика Петухова</cp:lastModifiedBy>
  <cp:revision>3</cp:revision>
  <dcterms:created xsi:type="dcterms:W3CDTF">2025-02-06T06:47:00Z</dcterms:created>
  <dcterms:modified xsi:type="dcterms:W3CDTF">2025-02-06T06:50:00Z</dcterms:modified>
</cp:coreProperties>
</file>